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Application of undevised real estate to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Application of undevised real estate to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Application of undevised real estate to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§1855. APPLICATION OF UNDEVISED REAL ESTATE TO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