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Jurisdiction</w:t>
      </w:r>
    </w:p>
    <w:p>
      <w:pPr>
        <w:jc w:val="both"/>
        <w:spacing w:before="100" w:after="100"/>
        <w:ind w:start="360"/>
        <w:ind w:firstLine="360"/>
      </w:pPr>
      <w:r>
        <w:rPr/>
      </w:r>
      <w:r>
        <w:rPr/>
      </w:r>
      <w:r>
        <w:t xml:space="preserve">Except as otherwise expressly provided, the District Court has original jurisdiction of all actions under this Title.</w:t>
      </w:r>
      <w:r>
        <w:t xml:space="preserve">  </w:t>
      </w:r>
      <w:r xmlns:wp="http://schemas.openxmlformats.org/drawingml/2010/wordprocessingDrawing" xmlns:w15="http://schemas.microsoft.com/office/word/2012/wordml">
        <w:rPr>
          <w:rFonts w:ascii="Arial" w:hAnsi="Arial" w:cs="Arial"/>
          <w:sz w:val="22"/>
          <w:szCs w:val="22"/>
        </w:rPr>
        <w:t xml:space="preserve">[PL 1999, c. 731, Pt. ZZZ, §26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§ZZZ26 (AMD). PL 1999, c. 731, §ZZZ42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§103.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