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§1658. TERMINATION OF PARENTAL RIGHTS AND RESPONSIBILITIES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