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Choice of law</w:t>
      </w:r>
    </w:p>
    <w:p>
      <w:pPr>
        <w:jc w:val="both"/>
        <w:spacing w:before="100" w:after="100"/>
        <w:ind w:start="360"/>
        <w:ind w:firstLine="360"/>
      </w:pPr>
      <w:r>
        <w:rPr>
          <w:b/>
        </w:rPr>
        <w:t>1</w:t>
        <w:t xml:space="preserve">.  </w:t>
      </w:r>
      <w:r>
        <w:rPr>
          <w:b/>
        </w:rPr>
        <w:t xml:space="preserve">Current payments, other obligations and arrearages under order.</w:t>
        <w:t xml:space="preserve"> </w:t>
      </w:r>
      <w:r>
        <w:t xml:space="preserve"> </w:t>
      </w:r>
      <w:r>
        <w:t xml:space="preserve">Except as otherwise provided in </w:t>
      </w:r>
      <w:r>
        <w:t>subsection 4</w:t>
      </w:r>
      <w:r>
        <w:t xml:space="preserve">, the law of the issuing state or foreign country governs:</w:t>
      </w:r>
    </w:p>
    <w:p>
      <w:pPr>
        <w:jc w:val="both"/>
        <w:spacing w:before="100" w:after="0"/>
        <w:ind w:start="720"/>
      </w:pPr>
      <w:r>
        <w:rPr/>
        <w:t>A</w:t>
        <w:t xml:space="preserve">.  </w:t>
      </w:r>
      <w:r>
        <w:rPr/>
      </w:r>
      <w:r>
        <w:t xml:space="preserve">The nature, extent, amount and duration of current payments under a registered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B</w:t>
        <w:t xml:space="preserve">.  </w:t>
      </w:r>
      <w:r>
        <w:rPr/>
      </w:r>
      <w:r>
        <w:t xml:space="preserve">The computation and payment of arrearages and accrual of interest on the arrearages under the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C</w:t>
        <w:t xml:space="preserve">.  </w:t>
      </w:r>
      <w:r>
        <w:rPr/>
      </w:r>
      <w:r>
        <w:t xml:space="preserve">The existence and satisfaction of other obligations under the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2</w:t>
        <w:t xml:space="preserve">.  </w:t>
      </w:r>
      <w:r>
        <w:rPr>
          <w:b/>
        </w:rPr>
        <w:t xml:space="preserve">Proceeding for arrears.</w:t>
        <w:t xml:space="preserve"> </w:t>
      </w:r>
      <w:r>
        <w:t xml:space="preserve"> </w:t>
      </w:r>
      <w:r>
        <w:t xml:space="preserve">In a proceeding for arrears under a registered support order, the statute of limitation of this State or of the issuing state or foreign country, whichever is for a longer period of time,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3</w:t>
        <w:t xml:space="preserve">.  </w:t>
      </w:r>
      <w:r>
        <w:rPr>
          <w:b/>
        </w:rPr>
        <w:t xml:space="preserve">Procedures and remedies of this State.</w:t>
        <w:t xml:space="preserve"> </w:t>
      </w:r>
      <w:r>
        <w:t xml:space="preserve"> </w:t>
      </w:r>
      <w:r>
        <w:t xml:space="preserve">A responding tribunal of this State shall apply the procedures and remedies of this State to enforce current support and collect arrears and interest due on a support order of another state or a foreign country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4</w:t>
        <w:t xml:space="preserve">.  </w:t>
      </w:r>
      <w:r>
        <w:rPr>
          <w:b/>
        </w:rPr>
        <w:t xml:space="preserve">Application of law of state issuing controlling order.</w:t>
        <w:t xml:space="preserve"> </w:t>
      </w:r>
      <w:r>
        <w:t xml:space="preserve"> </w:t>
      </w:r>
      <w:r>
        <w:t xml:space="preserve">After a tribunal of this State or another state determines which order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§37 (RPR). PL 2009, c. 95, §64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§3153. Choice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Choice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§3153. CHOICE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