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3313</w:t>
        <w:t xml:space="preserve">.  </w:t>
      </w:r>
      <w:r>
        <w:rPr>
          <w:b/>
        </w:rPr>
        <w:t xml:space="preserve">Relationship of the department to United States central authority</w:t>
      </w:r>
    </w:p>
    <w:p>
      <w:pPr>
        <w:jc w:val="both"/>
        <w:spacing w:before="100" w:after="100"/>
        <w:ind w:start="360"/>
        <w:ind w:firstLine="360"/>
      </w:pPr>
      <w:r>
        <w:rPr/>
      </w:r>
      <w:r>
        <w:rPr/>
      </w:r>
      <w:r>
        <w:t xml:space="preserve">The Department of Health and Human Services of this State is recognized as the agency designated by the United States central authority to perform specific functions under the Convention.</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§3313. Relationship of the department to United States central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§3313. Relationship of the department to United States central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§3313. RELATIONSHIP OF THE DEPARTMENT TO UNITED STATES CENTRAL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