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672, §16 (AMD). PL 2005, c. 265, §19 (AMD). PL 2007, c. 340, §§2, 3 (AMD). PL 2007, c. 518, §8 (AMD). PL 2011, c. 640, Pt. C, §1 (AMD). PL 2013, c. 478, §7 (AMD). PL 2015, c. 296, Pt. C, §24 (AMD). PL 2015, c. 296, Pt. D, §1 (AFF). PL 2015, c. 410, Pt. B, §§1, 2 (AMD). PL 2015, c. 443, §§9, 10 (AMD). PL 2017, c. 288, Pt. A, §§17-19 (AMD). PL 2019, c. 113, Pt. C, §66 (AMD). PL 2019, c. 176, §1 (AMD). PL 2019, c. 407, §3 (AMD). PL 2019, c. 412, §7 (AMD).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