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Service of order</w:t>
      </w:r>
    </w:p>
    <w:p>
      <w:pPr>
        <w:jc w:val="both"/>
        <w:spacing w:before="100" w:after="100"/>
        <w:ind w:start="360"/>
        <w:ind w:firstLine="360"/>
      </w:pPr>
      <w:r>
        <w:rPr/>
      </w:r>
      <w:r>
        <w:rPr/>
      </w:r>
      <w:r>
        <w:t xml:space="preserve">If the court issues an order under this chapter, the court shall order an appropriate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Temporary orders must be served with the summons and complaint.  The court shall cause the order to be delivered to the law enforcement agency, the court security officer or the correctional facility in which the defendant is incarcerated as soon as practicable following the issuance of the order. The law enforcement agency, court security officer or chief administrative officer of a correctional facility or the chief administrative officer's designee shall make a good faith effort to serve process expeditiously.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Electronically transmitted printed copies of order.</w:t>
        <w:t xml:space="preserve"> </w:t>
      </w:r>
      <w:r>
        <w:t xml:space="preserve"> </w:t>
      </w:r>
      <w:r>
        <w:t xml:space="preserve">Notwithstanding any provision of law to the contrary,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Officer who served order as witness.</w:t>
        <w:t xml:space="preserve"> </w:t>
      </w:r>
      <w:r>
        <w:t xml:space="preserve"> </w:t>
      </w:r>
      <w:r>
        <w:t xml:space="preserve">In any subsequent criminal prosecution for violation of this chapter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§4107. Service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Service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§4107. SERVICE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