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10713</w:t>
        <w:t xml:space="preserve">.  </w:t>
      </w:r>
      <w:r>
        <w:rPr>
          <w:b/>
        </w:rPr>
        <w:t xml:space="preserve">Investigations; hearings</w:t>
      </w:r>
    </w:p>
    <w:p>
      <w:pPr>
        <w:jc w:val="both"/>
        <w:spacing w:before="100" w:after="0"/>
        <w:ind w:start="360"/>
        <w:ind w:firstLine="360"/>
      </w:pPr>
      <w:r>
        <w:rPr>
          <w:b/>
        </w:rPr>
        <w:t>1</w:t>
        <w:t xml:space="preserve">.  </w:t>
      </w:r>
      <w:r>
        <w:rPr>
          <w:b/>
        </w:rPr>
        <w:t xml:space="preserve">Investigations.</w:t>
        <w:t xml:space="preserve"> </w:t>
      </w:r>
      <w:r>
        <w:t xml:space="preserve"> </w:t>
      </w:r>
      <w:r>
        <w:t xml:space="preserve">Whenever the state board believes that an event, transaction or condition within the scope of </w:t>
      </w:r>
      <w:r>
        <w:t>section 10712</w:t>
      </w:r>
      <w:r>
        <w:t xml:space="preserve"> may have occurred or may exist, it may conduct an investigation, which may include, but is not limited to, an examination of the educational institution by a visiting committee convened by the state board for that purpose.  As part of an investigation conducted under this subsection, the state board has the power to subpoena and examine under oath educational institutions, their trustees, directors, officers and employees, lenders, creditors and investors, together with their records, books and accounts.   The state board may also require the educational institution to provide other written information relevant to the subject matter of the investigation in the format prescribed by the state board.  The Superior Court has jurisdiction upon complaint filed by the state board to enforce any subpoena or request for other written information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§15 (AMD).]</w:t>
      </w:r>
    </w:p>
    <w:p>
      <w:pPr>
        <w:jc w:val="both"/>
        <w:spacing w:before="100" w:after="0"/>
        <w:ind w:start="360"/>
        <w:ind w:firstLine="360"/>
      </w:pPr>
      <w:r>
        <w:rPr>
          <w:b/>
        </w:rPr>
        <w:t>2</w:t>
        <w:t xml:space="preserve">.  </w:t>
      </w:r>
      <w:r>
        <w:rPr>
          <w:b/>
        </w:rPr>
        <w:t xml:space="preserve">Hearings.</w:t>
        <w:t xml:space="preserve"> </w:t>
      </w:r>
      <w:r>
        <w:t xml:space="preserve"> </w:t>
      </w:r>
      <w:r>
        <w:t xml:space="preserve">Before making any of the determinations authorized by </w:t>
      </w:r>
      <w:r>
        <w:t>section 10712</w:t>
      </w:r>
      <w:r>
        <w:t xml:space="preserve">, the state board shall give the educational institution an opportunity for a hearing pursuant to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§10713. Investigations;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§10713. Investigations;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§10713. INVESTIGATIONS;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