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10964</w:t>
        <w:t xml:space="preserve">.  </w:t>
      </w:r>
      <w:r>
        <w:rPr>
          <w:b/>
        </w:rPr>
        <w:t xml:space="preserve">Actions against university</w:t>
      </w:r>
    </w:p>
    <w:p>
      <w:pPr>
        <w:jc w:val="both"/>
        <w:spacing w:before="100" w:after="100"/>
        <w:ind w:start="360"/>
        <w:ind w:firstLine="360"/>
      </w:pPr>
      <w:r>
        <w:rPr/>
      </w:r>
      <w:r>
        <w:rPr/>
      </w:r>
      <w:r>
        <w:t xml:space="preserve">Neither any trustee of the university nor any officer, employee or agent of the university, while acting within the scope of the authority of this chapter, may be subject to any personal liability resulting from the exercise or carrying out of any of the university's purposes or powers.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§10964. Actions against university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§10964. Actions against university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§10964. ACTIONS AGAINST UNIVERSITY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