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11055</w:t>
        <w:t xml:space="preserve">.  </w:t>
      </w:r>
      <w:r>
        <w:rPr>
          <w:b/>
        </w:rPr>
        <w:t xml:space="preserve">Effective date</w:t>
      </w:r>
    </w:p>
    <w:p>
      <w:pPr>
        <w:jc w:val="both"/>
        <w:spacing w:before="100" w:after="100"/>
        <w:ind w:start="360"/>
        <w:ind w:firstLine="360"/>
      </w:pPr>
      <w:r>
        <w:rPr/>
      </w:r>
      <w:r>
        <w:rPr/>
      </w:r>
      <w:r>
        <w:t xml:space="preserve">When the Governor shall have executed this compact on behalf of this State, and shall have caused a verified copy thereof to be filed with the Secretary of State, and when the compact shall have been ratified by one or more of the states named in </w:t>
      </w:r>
      <w:r>
        <w:t>section 11051</w:t>
      </w:r>
      <w:r>
        <w:t xml:space="preserve"> then this compact shall become operative and effective as between this State and such other state or states.  The Governor shall take such action as may be necessary to complete the exchange and filing of official documents as between this State and any other state ratifying the compact, and to take such steps as may be necessary to secure the consent of the Congress of the United States to the compact.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