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12989</w:t>
        <w:t xml:space="preserve">.  </w:t>
      </w:r>
      <w:r>
        <w:rPr>
          <w:b/>
        </w:rPr>
        <w:t xml:space="preserve">Reporting</w:t>
      </w:r>
    </w:p>
    <w:p>
      <w:pPr>
        <w:jc w:val="both"/>
        <w:spacing w:before="100" w:after="0"/>
        <w:ind w:start="360"/>
        <w:ind w:firstLine="360"/>
      </w:pPr>
      <w:r>
        <w:rPr>
          <w:b/>
        </w:rPr>
        <w:t>1</w:t>
        <w:t xml:space="preserve">.  </w:t>
      </w:r>
      <w:r>
        <w:rPr>
          <w:b/>
        </w:rPr>
        <w:t xml:space="preserve">Report.</w:t>
        <w:t xml:space="preserve"> </w:t>
      </w:r>
      <w:r>
        <w:t xml:space="preserve"> </w:t>
      </w:r>
      <w:r>
        <w:t xml:space="preserve">By October 1, 2023 and annually thereafter, an institution of higher education shall prepare and submit to the commissioner, the Commissioner of Health and Human Services and the joint standing committee of the Legislature having jurisdiction over higher education matters the annual security report required under the federal Jeanne Clery Disclosure of Campus Security Policy and Campus Crime Statistics Act, 20 United States Code, Section 1092(f).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§12989.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§12989.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§12989.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