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§1461-B. Alternative organizational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§1461-B. Alternative organizational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§1461-B. ALTERNATIVE ORGANIZATIONAL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