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Void contracts</w:t>
      </w:r>
    </w:p>
    <w:p>
      <w:pPr>
        <w:jc w:val="both"/>
        <w:spacing w:before="100" w:after="100"/>
        <w:ind w:start="360"/>
        <w:ind w:firstLine="360"/>
      </w:pPr>
      <w:r>
        <w:rPr/>
      </w:r>
      <w:r>
        <w:rPr/>
      </w:r>
      <w:r>
        <w:t xml:space="preserve">A contract made by the regional school unit board during the term of a member who is pecuniarily interested in that contract, either directly or indirectly, is void, unless the regional school unit board has advertised for sealed bids for that contract and that advertisement for sealed bids has been published at least 5 days prior to the date set for closing of bids in a newspaper having general circulation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§1493. Void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Void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§1493. VOID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