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19101</w:t>
        <w:t xml:space="preserve">.  </w:t>
      </w:r>
      <w:r>
        <w:rPr>
          <w:b/>
        </w:rPr>
        <w:t xml:space="preserve">Establishment of the Maine Learning Technology Fund; source of funds</w:t>
      </w:r>
    </w:p>
    <w:p>
      <w:pPr>
        <w:jc w:val="both"/>
        <w:spacing w:before="100" w:after="100"/>
        <w:ind w:start="360"/>
        <w:ind w:firstLine="360"/>
      </w:pPr>
      <w:r>
        <w:rPr/>
      </w:r>
      <w:r>
        <w:rPr/>
      </w:r>
      <w:r>
        <w:t xml:space="preserve">The Maine Learning Technology Fund, referred to in this chapter as the "fund," is established.  The fund consists of certain funds dedicated by the Legislature and by other private and public sources for the advancement of learning technology for kindergarten to grade 12 in Maine.</w:t>
      </w:r>
      <w:r>
        <w:t xml:space="preserve">  </w:t>
      </w:r>
      <w:r xmlns:wp="http://schemas.openxmlformats.org/drawingml/2010/wordprocessingDrawing" xmlns:w15="http://schemas.microsoft.com/office/word/2012/wordml">
        <w:rPr>
          <w:rFonts w:ascii="Arial" w:hAnsi="Arial" w:cs="Arial"/>
          <w:sz w:val="22"/>
          <w:szCs w:val="22"/>
        </w:rPr>
        <w:t xml:space="preserve">[PL 2001, c. 358, Pt. II, §2 (AMD);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§II2 (AMD). PL 2003, c. 20, §TT1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§19101. Establishment of the Maine Learning Technology Fund; source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§19101. Establishment of the Maine Learning Technology Fund; source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§19101. ESTABLISHMENT OF THE MAINE LEARNING TECHNOLOGY FUND; SOURCE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