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 HIGH SCHOOL EQUIVALENCY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