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3653</w:t>
        <w:t xml:space="preserve">.  </w:t>
      </w:r>
      <w:r>
        <w:rPr>
          <w:b/>
        </w:rPr>
        <w:t xml:space="preserve">New Hampshire state aid</w:t>
      </w:r>
    </w:p>
    <w:p>
      <w:pPr>
        <w:jc w:val="both"/>
        <w:spacing w:before="100" w:after="100"/>
        <w:ind w:start="360"/>
        <w:ind w:firstLine="360"/>
      </w:pPr>
      <w:r>
        <w:rPr/>
      </w:r>
      <w:r>
        <w:rPr/>
      </w:r>
      <w:r>
        <w:t xml:space="preserve">A New Hampshire school district shall be entitled to receive an amount of state aid for operating expenditures as though its share of the interstate district's expenses were the expenses of the New Hampshire member district, and as though the New Hampshire member district pupils attending the interstate school were attending a New Hampshire cooperative school district's school. The state aid shall be paid to the New Hampshire member school district to reduce the sums which would otherwise be required to be raised by taxation within the member district.</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§3653. New Hampshire state aid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§3653. New Hampshire state aid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§3653. NEW HAMPSHIRE STATE AID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