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3659</w:t>
        <w:t xml:space="preserve">.  </w:t>
      </w:r>
      <w:r>
        <w:rPr>
          <w:b/>
        </w:rPr>
        <w:t xml:space="preserve">Continued existence of Maine school districts</w:t>
      </w:r>
    </w:p>
    <w:p>
      <w:pPr>
        <w:jc w:val="both"/>
        <w:spacing w:before="100" w:after="100"/>
        <w:ind w:start="360"/>
        <w:ind w:firstLine="360"/>
      </w:pPr>
      <w:r>
        <w:rPr/>
      </w:r>
      <w:r>
        <w:rPr/>
      </w:r>
      <w:r>
        <w:t xml:space="preserve">A Maine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it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Maine member school district shall remain liable on its existing indebtedness; and the interstate school district shall not become liable therefor.  Any trust funds and any property not taken over shall be retained by the Maine member school district and held or disposed of according to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§3659. Continued existence of Maine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§3659. Continued existence of Maine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§3659. CONTINUED EXISTENCE OF MAINE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