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Disposal or other use of real property closed for school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Disposal or other use of real property closed for school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§4103. DISPOSAL OR OTHER USE OF REAL PROPERTY CLOSED FOR SCHOOL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