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§6556. School resource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School resource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§6556. SCHOOL RESOURCE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