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Funding and tuition for Mackworth Island preschool and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§7404. FUNDING AND TUITION FOR MACKWORTH ISLAND PRESCHOOL AND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