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§7405-D. Statewide education and family services;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§7405-D. Statewide education and family services;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§7405-D. STATEWIDE EDUCATION AND FAMILY SERVICES;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