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6</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w:t>
      </w:r>
      <w:r>
        <w:t xml:space="preserve">  </w:t>
      </w:r>
      <w:r xmlns:wp="http://schemas.openxmlformats.org/drawingml/2010/wordprocessingDrawing" xmlns:w15="http://schemas.microsoft.com/office/word/2012/wordml">
        <w:rPr>
          <w:rFonts w:ascii="Arial" w:hAnsi="Arial" w:cs="Arial"/>
          <w:sz w:val="22"/>
          <w:szCs w:val="22"/>
        </w:rPr>
        <w:t xml:space="preserve">[PL 2009, c. 486, §5 (RPR).]</w:t>
      </w:r>
    </w:p>
    <w:p>
      <w:pPr>
        <w:jc w:val="both"/>
        <w:spacing w:before="100" w:after="0"/>
        <w:ind w:start="720"/>
      </w:pPr>
      <w:r>
        <w:rPr/>
        <w:t>D</w:t>
        <w:t xml:space="preserve">.  </w:t>
      </w:r>
      <w:r>
        <w:rPr/>
      </w:r>
      <w:r>
        <w:t xml:space="preserve">One member who is a citizen of Limestone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§1 (RP).]</w:t>
      </w:r>
    </w:p>
    <w:p>
      <w:pPr>
        <w:jc w:val="both"/>
        <w:spacing w:before="100" w:after="0"/>
        <w:ind w:start="720"/>
      </w:pPr>
      <w:r>
        <w:rPr/>
        <w:t>F</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2009, c. 486, §6 (AMD).]</w:t>
      </w:r>
    </w:p>
    <w:p>
      <w:pPr>
        <w:jc w:val="both"/>
        <w:spacing w:before="100" w:after="0"/>
        <w:ind w:start="720"/>
      </w:pPr>
      <w:r>
        <w:rPr/>
        <w:t>G</w:t>
        <w:t xml:space="preserve">.  </w:t>
      </w:r>
      <w:r>
        <w:rPr/>
      </w:r>
      <w:r>
        <w:t xml:space="preserve">Ten members of the general public appointed by the Governor, at least 4 of whom must be scientists, engineers or mathematicians employed within the business or industrial community, one of whom must be a graduate of the Maine School of Science and Mathematics and one of whom must be a parent of a student or of a graduate who graduated within 5 years prior to the parent's appointment to the board of trustees.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129,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§3 (RP).]</w:t>
      </w:r>
    </w:p>
    <w:p>
      <w:pPr>
        <w:jc w:val="both"/>
        <w:spacing w:before="100" w:after="0"/>
        <w:ind w:start="720"/>
      </w:pPr>
      <w:r>
        <w:rPr/>
        <w:t>I</w:t>
        <w:t xml:space="preserve">.  </w:t>
      </w:r>
      <w:r>
        <w:rPr/>
      </w:r>
      <w:r>
        <w:t xml:space="preserve">One student member who is a voting member and has been elected as the presiding officer of the student body.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2009, c. 486, §7 (AMD).]</w:t>
      </w:r>
    </w:p>
    <w:p>
      <w:pPr>
        <w:jc w:val="both"/>
        <w:spacing w:before="100" w:after="0"/>
        <w:ind w:start="720"/>
      </w:pPr>
      <w:r>
        <w:rPr/>
        <w:t>J</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2011,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§3 (AMD).]</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1/3 of all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§8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4-year terms unless otherwise designated.  The terms of the 2 teachers appointed by the Governor are staggered.  Of the initial appointees, one is appointed for a term of 2 years and one is appointed for a term of 4 years.</w:t>
      </w:r>
    </w:p>
    <w:p>
      <w:pPr>
        <w:jc w:val="both"/>
        <w:spacing w:before="100" w:after="0"/>
        <w:ind w:start="360"/>
      </w:pPr>
      <w:r>
        <w:rPr/>
      </w:r>
      <w:r>
        <w:rPr/>
      </w:r>
      <w:r>
        <w:t xml:space="preserve">The 10 members of the general public serve 4-year staggered terms.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129, §4 (AMD).]</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2003, c. 4, §1 (AMD). PL 2003, c. 20, §OO2 (AMD). PL 2003, c. 20, §OO4 (AFF). PL 2005, c. 129, §§1-4 (AMD). PL 2009, c. 486, §§5-9 (AMD). PL 2011, c. 473,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§8204.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§8204.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