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§8307-A. REORGANIZATION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