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Regional Fire Service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Regional Fire Service Training Fund, referred to in this section as "the fund," is established under the Maine Fire Service Institute within the Maine Community College System as a nonlapsing fund to provide funds to municipalities for regional fire service training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for the purpose of funding regional fire service training for municipal firefighters and public safety employees.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regional fire service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within the Maine Community College System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§9005. Regional Fire Service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Regional Fire Service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§9005. REGIONAL FIRE SERVICE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