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The Maine Clean Election Fund established; sources of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The Maine Clean Election Fund established; sources of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§1124. THE MAINE CLEAN ELECTION FUND ESTABLISHED; SOURCES OF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