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Division of municipality, effect</w:t>
      </w:r>
    </w:p>
    <w:p>
      <w:pPr>
        <w:jc w:val="both"/>
        <w:spacing w:before="100" w:after="100"/>
        <w:ind w:start="360"/>
        <w:ind w:firstLine="360"/>
      </w:pPr>
      <w:r>
        <w:rPr/>
      </w:r>
      <w:r>
        <w:rPr/>
      </w:r>
      <w:r>
        <w:t xml:space="preserve">When any territory is set off from one municipality and annexed to another, the act establishing the new boundaries must indicate where and for which offices the voters in the territory may vote. If this provision is omitted from the act, the voters may vote for all offices in the municipality to which the territory is annexed.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Division of municipality,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Division of municipality,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§114. DIVISION OF MUNICIPALITY,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