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Delegation of authority</w:t>
      </w:r>
    </w:p>
    <w:p>
      <w:pPr>
        <w:jc w:val="both"/>
        <w:spacing w:before="100" w:after="100"/>
        <w:ind w:start="360"/>
        <w:ind w:firstLine="360"/>
      </w:pPr>
      <w:r>
        <w:rPr/>
      </w:r>
      <w:r>
        <w:rPr/>
      </w:r>
      <w:r>
        <w:t xml:space="preserve">When this Title requires the performance of a duty by an official, that official may delegate the duty to another under that official's supervision, if it is ministerial.</w:t>
      </w:r>
      <w:r>
        <w:t xml:space="preserve">  </w:t>
      </w:r>
      <w:r xmlns:wp="http://schemas.openxmlformats.org/drawingml/2010/wordprocessingDrawing" xmlns:w15="http://schemas.microsoft.com/office/word/2012/wordml">
        <w:rPr>
          <w:rFonts w:ascii="Arial" w:hAnsi="Arial" w:cs="Arial"/>
          <w:sz w:val="22"/>
          <w:szCs w:val="22"/>
        </w:rPr>
        <w:t xml:space="preserve">[RR 2019,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