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Enrolled voters</w:t>
      </w:r>
    </w:p>
    <w:p>
      <w:pPr>
        <w:jc w:val="both"/>
        <w:spacing w:before="100" w:after="100"/>
        <w:ind w:start="360"/>
        <w:ind w:firstLine="360"/>
      </w:pPr>
      <w:r>
        <w:rPr/>
      </w:r>
      <w:r>
        <w:rPr/>
      </w:r>
      <w:r>
        <w:t xml:space="preserve">A voter who is enrolled in a party which failed to meet the requirements of </w:t>
      </w:r>
      <w:r>
        <w:t>section 302</w:t>
      </w:r>
      <w:r>
        <w:t xml:space="preserve"> or </w:t>
      </w:r>
      <w:r>
        <w:t>303</w:t>
      </w:r>
      <w:r>
        <w:t xml:space="preserve">, or which is disqualified under </w:t>
      </w:r>
      <w:r>
        <w:t>section 304</w:t>
      </w:r>
      <w:r>
        <w:t xml:space="preserve">, is considered an unenrolled voter for all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Enrolled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Enrolled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§306. ENROLLED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