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w:t>
        <w:t xml:space="preserve">.  </w:t>
      </w:r>
      <w:r>
        <w:rPr>
          <w:b/>
        </w:rPr>
        <w:t xml:space="preserve">Secrecy preserved</w:t>
      </w:r>
    </w:p>
    <w:p>
      <w:pPr>
        <w:jc w:val="both"/>
        <w:spacing w:before="100" w:after="100"/>
        <w:ind w:start="360"/>
        <w:ind w:firstLine="360"/>
      </w:pPr>
      <w:r>
        <w:rPr/>
      </w:r>
      <w:r>
        <w:rPr/>
      </w:r>
      <w:r>
        <w:t xml:space="preserve">The warden at each voting place may not remain or allow any other person to remain where the warden or person can see how anyone votes, except that a proper official may remain when the official's assistance has been requested by a voter.</w:t>
      </w:r>
      <w:r>
        <w:t xml:space="preserve">  </w:t>
      </w:r>
      <w:r xmlns:wp="http://schemas.openxmlformats.org/drawingml/2010/wordprocessingDrawing" xmlns:w15="http://schemas.microsoft.com/office/word/2012/wordml">
        <w:rPr>
          <w:rFonts w:ascii="Arial" w:hAnsi="Arial" w:cs="Arial"/>
          <w:sz w:val="22"/>
          <w:szCs w:val="22"/>
        </w:rPr>
        <w:t xml:space="preserve">[PL 2009, c. 538,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 Secrecy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 Secrecy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§850. SECRECY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