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22-A</w:t>
      </w:r>
    </w:p>
    <w:p>
      <w:pPr>
        <w:jc w:val="center"/>
        <w:ind w:start="360"/>
        <w:spacing w:before="300" w:after="300"/>
      </w:pPr>
      <w:r>
        <w:rPr>
          <w:b/>
        </w:rPr>
        <w:t xml:space="preserve">HEALTH AND HUMAN SERVICES</w:t>
      </w:r>
    </w:p>
    <w:p>
      <w:pPr>
        <w:jc w:val="center"/>
        <w:ind w:start="360"/>
        <w:spacing w:before="300" w:after="300"/>
      </w:pPr>
      <w:r>
        <w:rPr>
          <w:b/>
        </w:rPr>
        <w:t>SUBTITLE</w:t>
        <w:t xml:space="preserve"> </w:t>
        <w:t>1</w:t>
      </w:r>
    </w:p>
    <w:p>
      <w:pPr>
        <w:jc w:val="center"/>
        <w:ind w:start="360"/>
        <w:spacing w:before="300" w:after="300"/>
      </w:pPr>
      <w:r>
        <w:rPr>
          <w:b/>
        </w:rPr>
        <w:t xml:space="preserve">DEPARTMENT OF HEALTH AND HUMAN SERVICES</w:t>
      </w:r>
    </w:p>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E</w:t>
        <w:t xml:space="preserve">.  </w:t>
      </w:r>
      <w:r>
        <w:rPr/>
      </w:r>
      <w:r>
        <w:t xml:space="preserve">Residential and long-term care services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F</w:t>
        <w:t xml:space="preserve">.  </w:t>
      </w:r>
      <w:r>
        <w:rPr/>
      </w:r>
      <w:r>
        <w:t xml:space="preserve">Injury and violence prevention programs, including data collection, synthesis and evaluation.</w:t>
      </w:r>
      <w:r>
        <w:t xml:space="preserve">  </w:t>
      </w:r>
      <w:r xmlns:wp="http://schemas.openxmlformats.org/drawingml/2010/wordprocessingDrawing" xmlns:w15="http://schemas.microsoft.com/office/word/2012/wordml">
        <w:rPr>
          <w:rFonts w:ascii="Arial" w:hAnsi="Arial" w:cs="Arial"/>
          <w:sz w:val="22"/>
          <w:szCs w:val="22"/>
        </w:rPr>
        <w:t xml:space="preserve">[PL 2023, c. 675,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§7 (AMD).]</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PL 2023, c. 675, §7 (AMD). </w:t>
      </w:r>
    </w:p>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22-A.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22-A.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