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1471-G</w:t>
        <w:t xml:space="preserve">.  </w:t>
      </w:r>
      <w:r>
        <w:rPr>
          <w:b/>
        </w:rPr>
        <w:t xml:space="preserve">Reports</w:t>
      </w:r>
    </w:p>
    <w:p>
      <w:pPr>
        <w:jc w:val="both"/>
        <w:spacing w:before="100" w:after="0"/>
        <w:ind w:start="360"/>
        <w:ind w:firstLine="360"/>
      </w:pPr>
      <w:r>
        <w:rPr>
          <w:b/>
        </w:rPr>
        <w:t>1</w:t>
        <w:t xml:space="preserve">.  </w:t>
      </w:r>
      <w:r>
        <w:rPr>
          <w:b/>
        </w:rPr>
        <w:t xml:space="preserve">Pesticide dealers to maintain certain records.</w:t>
        <w:t xml:space="preserve"> </w:t>
      </w:r>
      <w:r>
        <w:t xml:space="preserve"> </w:t>
      </w:r>
      <w:r>
        <w:t xml:space="preserve">All pesticide dealers shall maintain records of pesticide distribution for a period of at least 2 years and shall provide such reports and information as the board may, by regulation,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Applicators and firms to maintain certain records.</w:t>
        <w:t xml:space="preserve"> </w:t>
      </w:r>
      <w:r>
        <w:t xml:space="preserve"> </w:t>
      </w:r>
      <w:r>
        <w:t xml:space="preserve">All commercial applicators and spray contracting firms shall maintain, for a period of at least 2 years, records indicating the type and amount of pesticide used, the area of use and such other information as the board may require. Said applicators and firms shall provide such information, notification and reports as the board, by regulation,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819,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§1471-G.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§1471-G.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§1471-G.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