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1580-H</w:t>
        <w:t xml:space="preserve">.  </w:t>
      </w:r>
      <w:r>
        <w:rPr>
          <w:b/>
        </w:rPr>
        <w:t xml:space="preserve">Definitions</w:t>
      </w:r>
    </w:p>
    <w:p>
      <w:pPr>
        <w:jc w:val="both"/>
        <w:spacing w:before="100" w:after="0"/>
        <w:ind w:start="360"/>
        <w:ind w:firstLine="360"/>
      </w:pPr>
      <w:r>
        <w:rPr>
          <w:b/>
        </w:rPr>
        <w:t>1</w:t>
        <w:t xml:space="preserve">.  </w:t>
      </w:r>
      <w:r>
        <w:rPr>
          <w:b/>
        </w:rPr>
      </w:r>
      <w:r>
        <w:t xml:space="preserve"> </w:t>
      </w:r>
      <w:r>
        <w:t xml:space="preserve">"Adjusted for inflation" means increased in accordance with the formula for inflation adjustment set forth in Exhibit C to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2</w:t>
        <w:t xml:space="preserve">.  </w:t>
      </w:r>
      <w:r>
        <w:rPr>
          <w:b/>
        </w:rPr>
      </w:r>
      <w:r>
        <w:t xml:space="preserve"> </w:t>
      </w:r>
      <w:r>
        <w:t xml:space="preserve">"Affiliate"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 or group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3</w:t>
        <w:t xml:space="preserve">.  </w:t>
      </w:r>
      <w:r>
        <w:rPr>
          <w:b/>
        </w:rPr>
      </w:r>
      <w:r>
        <w:t xml:space="preserve"> </w:t>
      </w:r>
      <w:r>
        <w:t xml:space="preserve">"Allocable share" means allocable share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4</w:t>
        <w:t xml:space="preserve">.  </w:t>
      </w:r>
      <w:r>
        <w:rPr>
          <w:b/>
        </w:rPr>
      </w:r>
      <w:r>
        <w:t xml:space="preserve"> </w:t>
      </w:r>
      <w:r>
        <w:t xml:space="preserve">"Cigarette" means any product that contains nicotine, is intended to be burned or heated under ordinary conditions of use, and consists of or contains</w:t>
      </w:r>
    </w:p>
    <w:p>
      <w:pPr>
        <w:jc w:val="both"/>
        <w:spacing w:before="100" w:after="0"/>
        <w:ind w:start="720"/>
      </w:pPr>
      <w:r>
        <w:rPr/>
        <w:t>A</w:t>
        <w:t xml:space="preserve">.  </w:t>
      </w:r>
      <w:r>
        <w:rPr/>
      </w:r>
      <w:r>
        <w:t xml:space="preserve">any roll of tobacco wrapped in paper or in any substance not containing tobacco;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B</w:t>
        <w:t xml:space="preserve">.  </w:t>
      </w:r>
      <w:r>
        <w:rPr/>
      </w:r>
      <w:r>
        <w:t xml:space="preserve">tobacco, in any form, that is functional in the product, which, because of its appearance, the type of tobacco used in the filler, or its packaging and labeling, is likely to be offered to, or purchased by, consumers as a cigarette;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720"/>
      </w:pPr>
      <w:r>
        <w:rPr/>
        <w:t>C</w:t>
        <w:t xml:space="preserve">.  </w:t>
      </w:r>
      <w:r>
        <w:rPr/>
      </w:r>
      <w:r>
        <w:t xml:space="preserve">any roll of tobacco wrapped in any substance containing tobacco which, because of its appearance, the type of tobacco used in the filler, or its packaging and labeling, is likely to be offered to, or purchased by, consumers as a cigarette described in </w:t>
      </w:r>
      <w:r>
        <w:t>paragraph A</w:t>
      </w:r>
      <w:r>
        <w:t xml:space="preserve"> of this definition.  The term "cigarette" includes "roll-your-own" (i.e, any tobacco which, because of its appearance, type, packaging, or labeling is suitable for use and likely to be offered to, or purchased by, consumers as tobacco for making cigarettes).  For purposes of this definition of "cigarette," 0.09 ounces of "roll-your-own" tobacco shall constitute one individual "cigarette."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5</w:t>
        <w:t xml:space="preserve">.  </w:t>
      </w:r>
      <w:r>
        <w:rPr>
          <w:b/>
        </w:rPr>
      </w:r>
      <w:r>
        <w:t xml:space="preserve"> </w:t>
      </w:r>
      <w:r>
        <w:t xml:space="preserve">"Master Settlement Agreement" means the settlement agreement (and related documents) entered into on November 23, 1998 by the State and the leading United States tobacco product manufacturers, docketed by the Superior Court on December 9, 1998, in State of Maine v. Philip Morris, et al., Kennebec County Superior Court, Docket No. CV-97-134.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6</w:t>
        <w:t xml:space="preserve">.  </w:t>
      </w:r>
      <w:r>
        <w:rPr>
          <w:b/>
        </w:rPr>
      </w:r>
      <w:r>
        <w:t xml:space="preserve"> </w:t>
      </w:r>
      <w:r>
        <w:t xml:space="preserve">"Qualified escrow fund" means an escrow arrangement with a federally or State 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accessing or directing the use of the funds' principal except as consistent with </w:t>
      </w:r>
      <w:r>
        <w:t>section 1580‑I, subsection 2, paragraph A</w:t>
      </w:r>
      <w:r>
        <w:t xml:space="preserv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7</w:t>
        <w:t xml:space="preserve">.  </w:t>
      </w:r>
      <w:r>
        <w:rPr>
          <w:b/>
        </w:rPr>
      </w:r>
      <w:r>
        <w:t xml:space="preserve"> </w:t>
      </w:r>
      <w:r>
        <w:t xml:space="preserve">"Released claims" means Released Claims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0"/>
        <w:ind w:start="360"/>
        <w:ind w:firstLine="360"/>
      </w:pPr>
      <w:r>
        <w:rPr>
          <w:b/>
        </w:rPr>
        <w:t>8</w:t>
        <w:t xml:space="preserve">.  </w:t>
      </w:r>
      <w:r>
        <w:rPr>
          <w:b/>
        </w:rPr>
      </w:r>
      <w:r>
        <w:t xml:space="preserve"> </w:t>
      </w:r>
      <w:r>
        <w:t xml:space="preserve">"Releasing parties" means releasing parties as that term is defined in the Master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9</w:t>
        <w:t xml:space="preserve">.  </w:t>
      </w:r>
      <w:r>
        <w:rPr>
          <w:b/>
        </w:rPr>
      </w:r>
      <w:r>
        <w:t xml:space="preserve"> </w:t>
      </w:r>
      <w:r>
        <w:t xml:space="preserve">"Tobacco Product Manufacturer" means an entity that after the date of enactment of this Act directly (and not exclusively through any affiliate):</w:t>
      </w:r>
    </w:p>
    <w:p>
      <w:pPr>
        <w:jc w:val="both"/>
        <w:spacing w:before="100" w:after="100"/>
        <w:ind w:start="720"/>
      </w:pPr>
      <w:r>
        <w:rPr/>
        <w:t>A</w:t>
        <w:t xml:space="preserve">.  </w:t>
      </w:r>
      <w:r>
        <w:rPr/>
      </w:r>
      <w:r>
        <w:t xml:space="preserve">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B</w:t>
        <w:t xml:space="preserve">.  </w:t>
      </w:r>
      <w:r>
        <w:rPr/>
      </w:r>
      <w:r>
        <w:t xml:space="preserve">is the first purchaser anywhere for the resale in the United States of cigarettes manufactured anywhere that the manufacturer does not intend to be sold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720"/>
      </w:pPr>
      <w:r>
        <w:rPr/>
        <w:t>C</w:t>
        <w:t xml:space="preserve">.  </w:t>
      </w:r>
      <w:r>
        <w:rPr/>
      </w:r>
      <w:r>
        <w:t xml:space="preserve">becomes a successor of an entity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The term "tobacco product manufacturer" shall not include an affiliate of a tobacco product manufacturer unless such affiliate itself falls within any of </w:t>
      </w:r>
      <w:r>
        <w:t>paragraphs A</w:t>
      </w:r>
      <w:r>
        <w:t xml:space="preserve"> to </w:t>
      </w:r>
      <w:r>
        <w:t>C</w:t>
      </w:r>
      <w:r>
        <w:t xml:space="preserve"> above.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10</w:t>
        <w:t xml:space="preserve">.  </w:t>
      </w:r>
      <w:r>
        <w:rPr>
          <w:b/>
        </w:rPr>
      </w:r>
      <w:r>
        <w:t xml:space="preserve"> </w:t>
      </w:r>
      <w:r>
        <w:t xml:space="preserve">"Units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bearing the excise tax stamp of the State or "roll-your-own" tobacco containers.  The Attorney General may adopt rules as are necessary to obtain information from any tobacco product retailer, distributor or manufacturer to ascertain the amount of state excise tax paid on tobacco products of each tobacco product manufacturer for each year.  Rules established pursuant to this section are routine technical rules, as provided in </w:t>
      </w:r>
      <w:r>
        <w:t>Title 5, chapter 375, subchapter 2‑A</w:t>
      </w:r>
      <w:r>
        <w:t xml:space="preserve">.  Notwithstanding any other provision of law, the Bureau of Revenue Services may provide information to the Attorney General as is necessary for a tobacco product manufacturer to compile its escrow payment hereunder.  In addition, the Attorney General may subpoena the records of any tobacco product retailer, distributor or manufacturer to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