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Failure to preserve life of live born person</w:t>
      </w:r>
    </w:p>
    <w:p>
      <w:pPr>
        <w:jc w:val="both"/>
        <w:spacing w:before="100" w:after="100"/>
        <w:ind w:start="360"/>
        <w:ind w:firstLine="360"/>
      </w:pPr>
      <w:r>
        <w:rPr/>
      </w:r>
      <w:r>
        <w:rPr/>
      </w:r>
      <w:r>
        <w:t xml:space="preserve">Whenever an abortion procedure results in a live birth, failure to take all reasonable steps, in keeping with good medical practice, to preserve the life and health of the live born person shall subject the responsible party or parties to Maine law governing homicide, manslaughter and civil liability for wrongful death and medical malpractice.</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§1594. Failure to preserve life of live born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Failure to preserve life of live born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§1594. FAILURE TO PRESERVE LIFE OF LIVE BORN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