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Rules</w:t>
      </w:r>
    </w:p>
    <w:p>
      <w:pPr>
        <w:jc w:val="both"/>
        <w:spacing w:before="100" w:after="100"/>
        <w:ind w:start="360"/>
        <w:ind w:firstLine="360"/>
      </w:pPr>
      <w:r>
        <w:rPr/>
      </w:r>
      <w:r>
        <w:rPr/>
      </w:r>
      <w:r>
        <w:t xml:space="preserve">The Commissioner of Health and Human Services is authorized and directed to adopt rules to implement this chapter to reflect widely accepted and current services that are presently provided.  The commissioner shall consult with organizations who counsel rape victims, the Maine Coalition Against Sexual Assault, and other appropriate parties and shall make allocations based on these recommendations.</w:t>
      </w:r>
      <w:r>
        <w:t xml:space="preserve">  </w:t>
      </w:r>
      <w:r xmlns:wp="http://schemas.openxmlformats.org/drawingml/2010/wordprocessingDrawing" xmlns:w15="http://schemas.microsoft.com/office/word/2012/wordml">
        <w:rPr>
          <w:rFonts w:ascii="Arial" w:hAnsi="Arial" w:cs="Arial"/>
          <w:sz w:val="22"/>
          <w:szCs w:val="22"/>
        </w:rPr>
        <w:t xml:space="preserve">[PL 1999, c. 127, Pt. B, §7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1999, c. 127, §B7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