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§1699. COMMUNITY-BASED HEART ATTACK AND STROKE PREVENTION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