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2098</w:t>
        <w:t xml:space="preserve">.  </w:t>
      </w:r>
      <w:r>
        <w:rPr>
          <w:b/>
        </w:rPr>
        <w:t xml:space="preserve">Administrative authority</w:t>
      </w:r>
    </w:p>
    <w:p>
      <w:pPr>
        <w:jc w:val="both"/>
        <w:spacing w:before="100" w:after="100"/>
        <w:ind w:start="360"/>
        <w:ind w:firstLine="360"/>
      </w:pPr>
      <w:r>
        <w:rPr/>
      </w:r>
      <w:r>
        <w:rPr/>
      </w:r>
      <w:r>
        <w:t xml:space="preserve">The council shall meet at the call of the chair or at the call of 1/4 of the members appointed and currently holding office. The council shall meet at least once every 3 months. The council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[RR 2021, c. 2, Pt. A, §58 (COR).]</w:t>
      </w:r>
    </w:p>
    <w:p>
      <w:pPr>
        <w:jc w:val="both"/>
        <w:spacing w:before="100" w:after="100"/>
        <w:ind w:start="360"/>
        <w:ind w:firstLine="360"/>
      </w:pPr>
      <w:r>
        <w:rPr/>
      </w:r>
      <w:r>
        <w:rPr/>
      </w:r>
      <w:r>
        <w:t xml:space="preserve">The department, to the extent feasible and reasonable, shall make available to the council such staff, facilities, equipment, supplies, information and other assistance as it may reasonably require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Any reasonable and proper expenses of the council must be borne by the division out of currently available state or federal funds.  Each member of the council is entitled to compensation according to the provisions of </w:t>
      </w:r>
      <w:r>
        <w:t>Title 5, chapter 379</w:t>
      </w:r>
      <w:r>
        <w:t xml:space="preserve">.  The council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1991, c. 152, §7 (AMD).]</w:t>
      </w:r>
    </w:p>
    <w:p>
      <w:pPr>
        <w:jc w:val="both"/>
        <w:spacing w:before="100" w:after="100"/>
        <w:ind w:start="360"/>
        <w:ind w:firstLine="360"/>
      </w:pPr>
      <w:r>
        <w:rPr/>
      </w:r>
      <w:r>
        <w:rPr/>
      </w:r>
      <w:r>
        <w:t xml:space="preserve">A majority of the council members shall constitute a quorum for the purpose of conducting the business of the council and exercising all the powers of the council. A vote of the majority of the members present shall be sufficient for all actions of the council.</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1983, c. 812, §127 (AMD). PL 1991, c. 152, §7 (AMD). RR 2021, c. 2, Pt. A,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§2098.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§2098.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§2098.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