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2498</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eating establishment, lodging place, recreational camp, youth camp, public pool or public spa or campground.  The penalties may not be greater than $100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B</w:t>
        <w:t xml:space="preserve">.  </w:t>
      </w:r>
      <w:r>
        <w:rPr/>
      </w:r>
      <w:r>
        <w:t xml:space="preserve">The department may direct an eating establishment, lodging place, recreational camp, youth camp, public pool or public spa or campground to correct any violations in a manner and within a time frame that the department determines is appropriate to ensure compliance with state rules or to protect the public health.  Failure to correct violations within the time frames constitutes a separate finable violation.</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C</w:t>
        <w:t xml:space="preserve">.  </w:t>
      </w:r>
      <w:r>
        <w:rPr/>
      </w:r>
      <w:r>
        <w:t xml:space="preserve">The department may impose penalties up to $5,000 on any person, corporation, firm or copartnership that operates any eating establishment, lodging place, recreational camp, youth camp, public pool or public spa or campground without an active, valid license, as determined by the department.  Each day any such person, corporation, firm or copartnership operates without an active, valid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125, §14 (AMD).]</w:t>
      </w:r>
    </w:p>
    <w:p>
      <w:pPr>
        <w:jc w:val="both"/>
        <w:spacing w:before="100" w:after="0"/>
        <w:ind w:start="720"/>
      </w:pPr>
      <w:r>
        <w:rPr/>
        <w:t>D</w:t>
        <w:t xml:space="preserve">.  </w:t>
      </w:r>
      <w:r>
        <w:rPr/>
      </w:r>
      <w:r>
        <w:t xml:space="preserve">In the event of any violation of this section or any rule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E</w:t>
        <w:t xml:space="preserve">.  </w:t>
      </w:r>
      <w:r>
        <w:rPr/>
      </w:r>
      <w:r>
        <w:t xml:space="preserve">A person, corporation, firm or copartnership that fails to pay a penalty imposed pursuant to this chapter:</w:t>
      </w:r>
    </w:p>
    <w:p>
      <w:pPr>
        <w:jc w:val="both"/>
        <w:spacing w:before="100" w:after="0"/>
        <w:ind w:start="1080"/>
      </w:pPr>
      <w:r>
        <w:rPr/>
        <w:t>(</w:t>
        <w:t>1</w:t>
        <w:t xml:space="preserve">)  </w:t>
      </w:r>
      <w:r>
        <w:rPr/>
      </w:r>
      <w:r>
        <w:t xml:space="preserve">May be referred to the Attorney General for appropriate enforcement action; and</w:t>
      </w:r>
    </w:p>
    <w:p>
      <w:pPr>
        <w:jc w:val="both"/>
        <w:spacing w:before="100" w:after="0"/>
        <w:ind w:start="1080"/>
      </w:pPr>
      <w:r>
        <w:rPr/>
        <w:t>(</w:t>
        <w:t>2</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§14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J, §5 (NEW); PL 1991, c. 528, Pt. RRR (AFF); PL 1991, c. 591, Pt. J, §5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Maine Administrative Procedure Act, </w:t>
      </w:r>
      <w:r>
        <w:t>Title 5, chapter 375, subchapter</w:t>
      </w:r>
      <w:r>
        <w:t xml:space="preserve"> IV, providing the licensee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fines by the time of its license renewal, the department may collect such fines by requiring their payment prior to the processing of any license renewal application.  An appeal of the department's decision to fine a licensee stays the collection of any fine.  Interest must accrue on fines at a rate described in </w:t>
      </w:r>
      <w:r>
        <w:t>Title 14, section 1602‑B</w:t>
      </w:r>
      <w:r>
        <w:t xml:space="preserve"> prior to the completion of any appeal.  After the completion of any appeal process or after any appeal period has passed, interest must accrue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1983, c. 553, §22 (AMD). PL 1991, c. 528, §J5 (RPR). PL 1991, c. 528, §RRR (AFF). PL 1991, c. 591, §J5 (RPR). PL 2003, c. 460, §11 (AMD). PL 2003, c. 673, §X3 (AMD). RR 2005, c. 2, §17 (COR). PL 2005, c. 481, §1 (AMD). PL 2009, c. 211, Pt. A, §§10-12 (AMD). PL 2011, c. 193, Pt. B, §§4-6 (AMD). PL 2013, c. 264, §6 (AMD). PL 2017, c. 322, §7 (AMD). PL 2021, c. 125,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§2498. Fines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§2498. Fines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§2498. FINES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