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Rules</w:t>
      </w:r>
    </w:p>
    <w:p>
      <w:pPr>
        <w:jc w:val="both"/>
        <w:spacing w:before="100" w:after="100"/>
        <w:ind w:start="360"/>
        <w:ind w:firstLine="360"/>
      </w:pPr>
      <w:r>
        <w:rPr/>
      </w:r>
      <w:r>
        <w:rPr/>
      </w:r>
      <w:r>
        <w:t xml:space="preserve">The Department shall promulgate such rules, pursuant to the Maine Administrative Procedure Act, </w:t>
      </w:r>
      <w:r>
        <w:t>Title 5, chapter 375, subchapter II</w:t>
      </w:r>
      <w:r>
        <w:t xml:space="preserve">, as it deems necessary to carry out the purposes of this subchapter, including, but not limited to, rules regarding the time and manner in which municipalities shall establish public water system zones.</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