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§2705. AMENDMENT OF VITAL STATISTICS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