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3088-A</w:t>
        <w:t xml:space="preserve">.  </w:t>
      </w:r>
      <w:r>
        <w:rPr>
          <w:b/>
        </w:rPr>
        <w:t xml:space="preserve">Support for underserved populations</w:t>
      </w:r>
    </w:p>
    <w:p>
      <w:pPr>
        <w:jc w:val="both"/>
        <w:spacing w:before="100" w:after="100"/>
        <w:ind w:start="360"/>
        <w:ind w:firstLine="360"/>
      </w:pPr>
      <w:r>
        <w:rPr/>
      </w:r>
      <w:r>
        <w:rPr/>
      </w:r>
      <w:r>
        <w:t xml:space="preserve">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MaineCare and who have a newly acquired brain injury.  For the purposes of this section, "core brain injury support" includes, but is not limited to, resource facilitation, brain injury support groups, outreach designed for individuals who have a newly acquired brain injury, access to a joint state and national helpline, information and resource education and family caregiver training.  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§3088-A. Support for underserved populations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§3088-A. Support for underserved populations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§3088-A. SUPPORT FOR UNDERSERVED POPULATIONS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