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3296</w:t>
        <w:t xml:space="preserve">.  </w:t>
      </w:r>
      <w:r>
        <w:rPr>
          <w:b/>
        </w:rPr>
        <w:t xml:space="preserve">Penalty for violations</w:t>
      </w:r>
    </w:p>
    <w:p>
      <w:pPr>
        <w:jc w:val="both"/>
        <w:spacing w:before="100" w:after="100"/>
        <w:ind w:start="360"/>
        <w:ind w:firstLine="360"/>
      </w:pPr>
      <w:r>
        <w:rPr/>
      </w:r>
      <w:r>
        <w:rPr/>
      </w:r>
      <w:r>
        <w:t xml:space="preserve">Any person who violates this chapter is subject to the applicable penalty as provided in </w:t>
      </w:r>
      <w:r>
        <w:t>chapters 958‑A</w:t>
      </w:r>
      <w:r>
        <w:t xml:space="preserve"> and </w:t>
      </w:r>
      <w:r>
        <w:t>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§A73 (NEW). PL 1999, c. 363,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§3296.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§3296.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§3296.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