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Simplified review and approval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§336. SIMPLIFIED REVIEW AND APPROVAL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