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350-A</w:t>
        <w:t xml:space="preserve">.  </w:t>
      </w:r>
      <w:r>
        <w:rPr>
          <w:b/>
        </w:rPr>
        <w:t xml:space="preserve">Cost-of-living adjustment</w:t>
      </w:r>
    </w:p>
    <w:p>
      <w:pPr>
        <w:jc w:val="both"/>
        <w:spacing w:before="100" w:after="100"/>
        <w:ind w:start="360"/>
      </w:pPr>
      <w:r>
        <w:rPr>
          <w:b/>
        </w:rPr>
        <w:t>(REPEALED)</w:t>
      </w:r>
    </w:p>
    <w:p>
      <w:pPr>
        <w:jc w:val="both"/>
        <w:spacing w:before="100" w:after="100"/>
        <w:ind w:start="360"/>
      </w:pPr>
      <w:r>
        <w:rPr>
          <w:b/>
        </w:rPr>
        <w:t>(REALLOCATED FROM TITLE 22, SECTION 351)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§A30 (RAL). PL 2007, c. 440, §21 (AMD). PL 2007, c. 681, §7 (AMD). PL 2009, c. 383,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§350-A. Cost-of-living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§350-A. Cost-of-living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§350-A. COST-OF-LIVING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