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Availability of funds</w:t>
      </w:r>
    </w:p>
    <w:p>
      <w:pPr>
        <w:jc w:val="both"/>
        <w:spacing w:before="100" w:after="100"/>
        <w:ind w:start="360"/>
        <w:ind w:firstLine="360"/>
      </w:pPr>
      <w:r>
        <w:rPr/>
      </w:r>
      <w:r>
        <w:rPr/>
      </w:r>
      <w:r>
        <w:t xml:space="preserve">Nothing in this chapter shall be construed to mean that any department, agency, institution or program shall be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1981, c. 512,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§3777.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§3777.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