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4024</w:t>
        <w:t xml:space="preserve">.  </w:t>
      </w:r>
      <w:r>
        <w:rPr>
          <w:b/>
        </w:rPr>
        <w:t xml:space="preserve">Department responsible for required services</w:t>
      </w:r>
    </w:p>
    <w:p>
      <w:pPr>
        <w:jc w:val="both"/>
        <w:spacing w:before="100" w:after="100"/>
        <w:ind w:start="360"/>
        <w:ind w:firstLine="360"/>
      </w:pPr>
      <w:r>
        <w:rPr/>
      </w:r>
      <w:r>
        <w:rPr/>
      </w:r>
      <w:r>
        <w:t xml:space="preserve">If the department requires that a child receive mental health services or other medical services as an alternative to the initiation of a child protection proceeding, the department shall inform the person responsible for the child that the services must be approved by the department.  If the person responsible for the child's medical expenses is unable to pay for the services required, the department shall inform the person responsible for the child that the department will pay for the services if the services are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623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§4024. Department responsible for required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§4024. Department responsible for required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§4024. DEPARTMENT RESPONSIBLE FOR REQUIRED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