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§4039. Enforcement of custody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§4039. ENFORCEMENT OF CUSTODY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