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41-A</w:t>
        <w:t xml:space="preserve">.  </w:t>
      </w:r>
      <w:r>
        <w:rPr>
          <w:b/>
        </w:rPr>
        <w:t xml:space="preserve">Biennial funding comparison report</w:t>
      </w:r>
    </w:p>
    <w:p>
      <w:pPr>
        <w:jc w:val="both"/>
        <w:spacing w:before="100" w:after="100"/>
        <w:ind w:start="360"/>
        <w:ind w:firstLine="360"/>
      </w:pPr>
      <w:r>
        <w:rPr/>
      </w:r>
      <w:r>
        <w:rPr/>
      </w:r>
      <w:r>
        <w:t xml:space="preserve">By January 31, 2003, and every 2 years thereafter, the commissioner shall report to the joint standing committee of the Legislature having jurisdiction over health and human services matters and the joint standing committee of the Legislature having jurisdiction over appropriations and financial affairs the amounts of appropriations and allocations that would be required to fully fund all reimbursable costs for nursing facilities and medical and remedial private nonmedical institutions covered by the department, determined pursuant to the department's principles of reimbursement and the amounts of appropriations and allocations that would be necessary to raise the reimbursement rates for all providers of services reimbursed under the Medicaid program on a fee-for-service basis who are reimbursed below 70% of usual and customary rates to a level equal to 70% of usual customary rates, as long as the rate does not exceed the rate allowed by federal law or regulation.  The information in the report regarding nursing facilities and private nonmedical institutions must be presented in a manner that compares the amounts that would be required to fully fund the 2 types of facilities, the amounts that are requested in the Governor's budget bill and the amounts that were appropriated and allocated for each of the 2 years of the biennium in which the report is made.</w:t>
      </w:r>
      <w:r>
        <w:t xml:space="preserve">  </w:t>
      </w:r>
      <w:r xmlns:wp="http://schemas.openxmlformats.org/drawingml/2010/wordprocessingDrawing" xmlns:w15="http://schemas.microsoft.com/office/word/2012/wordml">
        <w:rPr>
          <w:rFonts w:ascii="Arial" w:hAnsi="Arial" w:cs="Arial"/>
          <w:sz w:val="22"/>
          <w:szCs w:val="22"/>
        </w:rPr>
        <w:t xml:space="preserve">[PL 2001, c. 666, Pt. D,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666, §D1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§41-A. Biennial funding comparison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§41-A. Biennial funding comparison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§41-A. BIENNIAL FUNDING COMPARISON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