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5306</w:t>
        <w:t xml:space="preserve">.  </w:t>
      </w:r>
      <w:r>
        <w:rPr>
          <w:b/>
        </w:rPr>
        <w:t xml:space="preserve">Agreements with community agencies</w:t>
      </w:r>
    </w:p>
    <w:p>
      <w:pPr>
        <w:jc w:val="both"/>
        <w:spacing w:before="100" w:after="100"/>
        <w:ind w:start="360"/>
        <w:ind w:firstLine="360"/>
      </w:pPr>
      <w:r>
        <w:rPr/>
      </w:r>
      <w:r>
        <w:rPr/>
      </w:r>
      <w:r>
        <w:t xml:space="preserve">All funds disbursed by the department to a community agency for the purpose of financially supporting a human service shall be covered by a written agreement, pursuant to the same provisions specified for the department in </w:t>
      </w:r>
      <w:r>
        <w:t>Title 34, section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493, §2 (AMD); PL 1995, c. 560, Pt. K, §82 (AMD); PL 1995, c. 560, Pt. K, §83 (AFF); PL 2001, c. 354, §3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307, §1 (NEW). PL 1981, c. 493, §2 (AMD). PL 1995, c. 560, §K82 (AMD). PL 1995, c. 560, §K83 (AFF). PL 2001, c. 354, §3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§5306. Agreements with community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§5306. Agreements with community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§5306. AGREEMENTS WITH COMMUNITY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