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519, §1 (NEW).]</w:t>
      </w:r>
    </w:p>
    <w:p>
      <w:pPr>
        <w:jc w:val="both"/>
        <w:spacing w:before="100" w:after="0"/>
        <w:ind w:start="360"/>
        <w:ind w:firstLine="360"/>
      </w:pPr>
      <w:r>
        <w:rPr>
          <w:b/>
        </w:rPr>
        <w:t>1</w:t>
        <w:t xml:space="preserve">.  </w:t>
      </w:r>
      <w:r>
        <w:rPr>
          <w:b/>
        </w:rPr>
        <w:t xml:space="preserve">Facility.</w:t>
        <w:t xml:space="preserve"> </w:t>
      </w:r>
      <w:r>
        <w:t xml:space="preserve"> </w:t>
      </w:r>
      <w:r>
        <w:t xml:space="preserve">A "facility" means a production or utilization facility situated in this State that holds an operating permit or license issued by the United States Nuclear Regulatory Commission.  It also means a power reactor licensee situated in the State, whether decommissioned or not, with a possession-only license issued by the United States Nuclear Regulatory Commission for special nuclear material, by-product material and source material.  It also includes spent fuel or high-level waste storage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