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7272</w:t>
        <w:t xml:space="preserve">.  </w:t>
      </w:r>
      <w:r>
        <w:rPr>
          <w:b/>
        </w:rPr>
        <w:t xml:space="preserve">Withdrawal and dissolution - Article 12</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Withdrawal from this compact must be by the enactment of a statute repealing the compact, but may not take effect until one year after the effective date of that statute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notice.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withdrawing state is responsible for all dues, obligations and liabilities incurred through the effective date of withdrawal, including obligations the performance of which extends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Reinstatement following withdrawal of a member state occurs upon the withdrawing state's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Dissolution of the compact.</w:t>
        <w:t xml:space="preserve"> </w:t>
      </w:r>
      <w:r>
        <w:t xml:space="preserve"> </w:t>
      </w:r>
      <w:r>
        <w:t xml:space="preserve">The following provisions govern dissolution of the compact.</w:t>
      </w:r>
    </w:p>
    <w:p>
      <w:pPr>
        <w:jc w:val="both"/>
        <w:spacing w:before="100" w:after="0"/>
        <w:ind w:start="720"/>
      </w:pPr>
      <w:r>
        <w:rPr/>
        <w:t>A</w:t>
        <w:t xml:space="preserve">.  </w:t>
      </w:r>
      <w:r>
        <w:rPr/>
      </w:r>
      <w:r>
        <w:t xml:space="preserve">This compact dissolves effective upon the date of the withdrawal or default of the member state that reduces the membership in the compact to one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Upon the dissolution of this compact, the compact becomes void and is of no further force or effect, and the business and affairs of the interstate commission must be concluded and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§7272. WITHDRAWAL AND DISSOLUTION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